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恒丰银行关于基金申购及定投手续费率</w:t>
      </w:r>
    </w:p>
    <w:p>
      <w:pPr>
        <w:keepNext w:val="0"/>
        <w:keepLines w:val="0"/>
        <w:pageBreakBefore w:val="0"/>
        <w:kinsoku/>
        <w:wordWrap/>
        <w:overflowPunct/>
        <w:topLinePunct w:val="0"/>
        <w:autoSpaceDE/>
        <w:autoSpaceDN/>
        <w:bidi w:val="0"/>
        <w:adjustRightInd/>
        <w:snapToGrid/>
        <w:spacing w:line="240" w:lineRule="auto"/>
        <w:jc w:val="center"/>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优惠的公告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为答谢广大客户长期以来给予的信任与支持，更好地服务基金投资客户，经与相关基金管理有限公司协商一致，恒丰银行股份有限公司（以下简称“本行”）决定对本行代销的开放式基金产品开展申购及定投手续费率优惠活动。具体情况公告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一、适用投资者范围</w:t>
      </w:r>
      <w:r>
        <w:rPr>
          <w:rFonts w:hint="default" w:ascii="Times New Roman" w:hAnsi="Times New Roman" w:eastAsia="仿宋_GB2312" w:cs="Times New Roman"/>
          <w:sz w:val="32"/>
          <w:szCs w:val="32"/>
          <w:lang w:val="en-US" w:eastAsia="zh-CN"/>
        </w:rPr>
        <w:br w:type="textWrapping"/>
      </w:r>
      <w:r>
        <w:rPr>
          <w:rFonts w:hint="default" w:ascii="Times New Roman" w:hAnsi="Times New Roman" w:eastAsia="仿宋_GB2312" w:cs="Times New Roman"/>
          <w:sz w:val="32"/>
          <w:szCs w:val="32"/>
          <w:lang w:val="en-US" w:eastAsia="zh-CN"/>
        </w:rPr>
        <w:t>　　通过本行渠道申购、定投基金的个人投资者。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二、适用产品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恒丰银行代销指定基金管理公司的处于正常申购期的前端收费模式</w:t>
      </w:r>
      <w:r>
        <w:rPr>
          <w:rFonts w:hint="default" w:ascii="Times New Roman" w:hAnsi="Times New Roman" w:eastAsia="仿宋_GB2312" w:cs="Times New Roman"/>
          <w:sz w:val="32"/>
          <w:szCs w:val="32"/>
          <w:highlight w:val="none"/>
          <w:lang w:val="en-US" w:eastAsia="zh-CN"/>
        </w:rPr>
        <w:t>（前端收费模式指在申购及定投基金时就需要支付申购费的购买方式）公募基金可按</w:t>
      </w:r>
      <w:r>
        <w:rPr>
          <w:rFonts w:hint="default" w:ascii="Times New Roman" w:hAnsi="Times New Roman" w:eastAsia="仿宋_GB2312" w:cs="Times New Roman"/>
          <w:sz w:val="32"/>
          <w:szCs w:val="32"/>
          <w:lang w:val="en-US" w:eastAsia="zh-CN"/>
        </w:rPr>
        <w:t>照本公告参与费率优惠。基金赎回手续费不享有费率优惠，同时原基金申购费率按笔收取固定金额的不享有费率优惠。参与我行费率优惠活动的基金公司如附表清单所示,如有变动,则以本行公告为准。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三、生效时间及适用标准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（一）自2025年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日起，凡通过本行渠道申购费率优惠基金的个人投资者，享受费申购手续费率1折优惠。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（二）自2025年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日起，凡通过本行渠道签约费率优惠基金定投协议并成功扣款的个人投资者，享受定投申购手续费率1折优惠。2025年</w:t>
      </w:r>
      <w:r>
        <w:rPr>
          <w:rFonts w:hint="eastAsia" w:ascii="Times New Roman" w:hAnsi="Times New Roman" w:eastAsia="仿宋_GB2312" w:cs="Times New Roman"/>
          <w:sz w:val="32"/>
          <w:szCs w:val="32"/>
          <w:lang w:val="en-US" w:eastAsia="zh-CN"/>
        </w:rPr>
        <w:t>7</w:t>
      </w:r>
      <w:r>
        <w:rPr>
          <w:rFonts w:hint="default" w:ascii="Times New Roman" w:hAnsi="Times New Roman" w:eastAsia="仿宋_GB2312" w:cs="Times New Roman"/>
          <w:sz w:val="32"/>
          <w:szCs w:val="32"/>
          <w:lang w:val="en-US" w:eastAsia="zh-CN"/>
        </w:rPr>
        <w:t>月</w:t>
      </w: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lang w:val="en-US" w:eastAsia="zh-CN"/>
        </w:rPr>
        <w:t>日之前通过我行渠道签订且已生效的基金定投协议，在该日之后定投申购费率的扣款执行调整后费率优惠标准。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四、重要提示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（一）自本公告生效之日起，新增参加或退出本公告指定基金管理公司项下基金申购及定投申购手续费率（前端收费模式）优惠的公募基金，本行不再另行公告，如有疑问可按照以下联系方式进行咨询。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（二）有关上述费率优惠活动的具体费率折扣及活动起止时间如有变化，敬请投资者留意本行相关公告或通知。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五、联系咨询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（一）恒丰银行门户网站：</w:t>
      </w:r>
      <w:r>
        <w:rPr>
          <w:rFonts w:hint="default" w:ascii="Times New Roman" w:hAnsi="Times New Roman" w:eastAsia="仿宋_GB2312" w:cs="Times New Roman"/>
          <w:sz w:val="32"/>
          <w:szCs w:val="32"/>
          <w:lang w:val="en-US" w:eastAsia="zh-CN"/>
        </w:rPr>
        <w:fldChar w:fldCharType="begin"/>
      </w:r>
      <w:r>
        <w:rPr>
          <w:rFonts w:hint="default" w:ascii="Times New Roman" w:hAnsi="Times New Roman" w:eastAsia="仿宋_GB2312" w:cs="Times New Roman"/>
          <w:sz w:val="32"/>
          <w:szCs w:val="32"/>
          <w:lang w:val="en-US" w:eastAsia="zh-CN"/>
        </w:rPr>
        <w:instrText xml:space="preserve"> HYPERLINK "http://www.czbank.com/" </w:instrText>
      </w:r>
      <w:r>
        <w:rPr>
          <w:rFonts w:hint="default" w:ascii="Times New Roman" w:hAnsi="Times New Roman" w:eastAsia="仿宋_GB2312" w:cs="Times New Roman"/>
          <w:sz w:val="32"/>
          <w:szCs w:val="32"/>
          <w:lang w:val="en-US" w:eastAsia="zh-CN"/>
        </w:rPr>
        <w:fldChar w:fldCharType="separate"/>
      </w:r>
      <w:r>
        <w:rPr>
          <w:rFonts w:hint="default" w:ascii="Times New Roman" w:hAnsi="Times New Roman" w:eastAsia="仿宋_GB2312" w:cs="Times New Roman"/>
          <w:sz w:val="32"/>
          <w:szCs w:val="32"/>
          <w:lang w:val="en-US" w:eastAsia="zh-CN"/>
        </w:rPr>
        <w:t>www.hfbank.com</w:t>
      </w:r>
      <w:r>
        <w:rPr>
          <w:rFonts w:hint="default" w:ascii="Times New Roman" w:hAnsi="Times New Roman" w:eastAsia="仿宋_GB2312" w:cs="Times New Roman"/>
          <w:sz w:val="32"/>
          <w:szCs w:val="32"/>
          <w:lang w:val="en-US" w:eastAsia="zh-CN"/>
        </w:rPr>
        <w:fldChar w:fldCharType="end"/>
      </w:r>
      <w:r>
        <w:rPr>
          <w:rFonts w:hint="default" w:ascii="Times New Roman" w:hAnsi="Times New Roman" w:eastAsia="仿宋_GB2312" w:cs="Times New Roman"/>
          <w:sz w:val="32"/>
          <w:szCs w:val="32"/>
          <w:lang w:val="en-US" w:eastAsia="zh-CN"/>
        </w:rPr>
        <w:t>.cn。</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（二）恒丰银行全国统一客户服务电话：95395。</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（三）各相关基金管理公司网站。</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40" w:beforeAutospacing="0" w:afterAutospacing="0" w:line="560" w:lineRule="exact"/>
        <w:ind w:left="0" w:right="0"/>
        <w:jc w:val="right"/>
        <w:textAlignment w:val="baseline"/>
        <w:rPr>
          <w:rFonts w:hint="default" w:ascii="Times New Roman" w:hAnsi="Times New Roman" w:eastAsia="仿宋_GB2312" w:cs="Times New Roman"/>
          <w:sz w:val="32"/>
          <w:szCs w:val="32"/>
        </w:rPr>
      </w:pPr>
      <w:r>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t>恒丰银行股份有限公司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t>2</w:t>
      </w:r>
      <w:r>
        <w:rPr>
          <w:rFonts w:hint="eastAsia" w:ascii="Times New Roman" w:hAnsi="Times New Roman" w:eastAsia="仿宋_GB2312" w:cs="Times New Roman"/>
          <w:i w:val="0"/>
          <w:iCs w:val="0"/>
          <w:caps w:val="0"/>
          <w:spacing w:val="0"/>
          <w:kern w:val="0"/>
          <w:sz w:val="32"/>
          <w:szCs w:val="32"/>
          <w:shd w:val="clear" w:color="auto" w:fill="FFFFFF"/>
          <w:vertAlign w:val="baseline"/>
          <w:lang w:val="en-US" w:eastAsia="zh-CN" w:bidi="ar"/>
        </w:rPr>
        <w:t>0</w:t>
      </w:r>
      <w:r>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t>25年</w:t>
      </w:r>
      <w:r>
        <w:rPr>
          <w:rFonts w:hint="eastAsia" w:ascii="Times New Roman" w:hAnsi="Times New Roman" w:eastAsia="仿宋_GB2312" w:cs="Times New Roman"/>
          <w:i w:val="0"/>
          <w:iCs w:val="0"/>
          <w:caps w:val="0"/>
          <w:spacing w:val="0"/>
          <w:kern w:val="0"/>
          <w:sz w:val="32"/>
          <w:szCs w:val="32"/>
          <w:shd w:val="clear" w:color="auto" w:fill="FFFFFF"/>
          <w:vertAlign w:val="baseline"/>
          <w:lang w:val="en-US" w:eastAsia="zh-CN" w:bidi="ar"/>
        </w:rPr>
        <w:t>7</w:t>
      </w:r>
      <w:r>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t>月</w:t>
      </w:r>
      <w:r>
        <w:rPr>
          <w:rFonts w:hint="eastAsia" w:ascii="Times New Roman" w:hAnsi="Times New Roman" w:eastAsia="仿宋_GB2312" w:cs="Times New Roman"/>
          <w:i w:val="0"/>
          <w:iCs w:val="0"/>
          <w:caps w:val="0"/>
          <w:spacing w:val="0"/>
          <w:kern w:val="0"/>
          <w:sz w:val="32"/>
          <w:szCs w:val="32"/>
          <w:shd w:val="clear" w:color="auto" w:fill="FFFFFF"/>
          <w:vertAlign w:val="baseline"/>
          <w:lang w:val="en-US" w:eastAsia="zh-CN" w:bidi="ar"/>
        </w:rPr>
        <w:t>14</w:t>
      </w:r>
      <w:r>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t>日</w:t>
      </w: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bookmarkStart w:id="0" w:name="_GoBack"/>
      <w:bookmarkEnd w:id="0"/>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ind w:firstLine="640" w:firstLineChars="200"/>
        <w:jc w:val="righ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p>
      <w:pPr>
        <w:keepNext w:val="0"/>
        <w:keepLines w:val="0"/>
        <w:pageBreakBefore w:val="0"/>
        <w:kinsoku/>
        <w:wordWrap/>
        <w:overflowPunct/>
        <w:topLinePunct w:val="0"/>
        <w:autoSpaceDE/>
        <w:autoSpaceDN/>
        <w:bidi w:val="0"/>
        <w:adjustRightInd/>
        <w:snapToGrid/>
        <w:spacing w:line="560" w:lineRule="exact"/>
        <w:jc w:val="lef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r>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t>附表：</w:t>
      </w:r>
    </w:p>
    <w:p>
      <w:pPr>
        <w:keepNext w:val="0"/>
        <w:keepLines w:val="0"/>
        <w:pageBreakBefore w:val="0"/>
        <w:kinsoku/>
        <w:wordWrap/>
        <w:overflowPunct/>
        <w:topLinePunct w:val="0"/>
        <w:autoSpaceDE/>
        <w:autoSpaceDN/>
        <w:bidi w:val="0"/>
        <w:adjustRightInd/>
        <w:snapToGrid/>
        <w:spacing w:line="560" w:lineRule="exact"/>
        <w:jc w:val="center"/>
        <w:rPr>
          <w:rFonts w:hint="eastAsia" w:ascii="黑体" w:hAnsi="黑体" w:eastAsia="黑体" w:cs="黑体"/>
          <w:i w:val="0"/>
          <w:iCs w:val="0"/>
          <w:caps w:val="0"/>
          <w:spacing w:val="0"/>
          <w:kern w:val="0"/>
          <w:sz w:val="28"/>
          <w:szCs w:val="28"/>
          <w:shd w:val="clear" w:color="auto" w:fill="FFFFFF"/>
          <w:vertAlign w:val="baseline"/>
          <w:lang w:val="en-US" w:eastAsia="zh-CN" w:bidi="ar"/>
        </w:rPr>
      </w:pPr>
      <w:r>
        <w:rPr>
          <w:rFonts w:hint="eastAsia" w:ascii="黑体" w:hAnsi="黑体" w:eastAsia="黑体" w:cs="黑体"/>
          <w:i w:val="0"/>
          <w:iCs w:val="0"/>
          <w:caps w:val="0"/>
          <w:spacing w:val="0"/>
          <w:kern w:val="0"/>
          <w:sz w:val="28"/>
          <w:szCs w:val="28"/>
          <w:shd w:val="clear" w:color="auto" w:fill="FFFFFF"/>
          <w:vertAlign w:val="baseline"/>
          <w:lang w:val="en-US" w:eastAsia="zh-CN" w:bidi="ar"/>
        </w:rPr>
        <w:t>参与费率优惠活动的基金公司清单</w:t>
      </w:r>
    </w:p>
    <w:tbl>
      <w:tblPr>
        <w:tblStyle w:val="4"/>
        <w:tblW w:w="774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29"/>
        <w:gridCol w:w="2771"/>
        <w:gridCol w:w="1101"/>
        <w:gridCol w:w="27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29" w:type="dxa"/>
            <w:vMerge w:val="restart"/>
            <w:tcBorders>
              <w:top w:val="single" w:color="000000" w:sz="4" w:space="0"/>
              <w:left w:val="single" w:color="000000" w:sz="4" w:space="0"/>
              <w:bottom w:val="single" w:color="000000" w:sz="4" w:space="0"/>
              <w:right w:val="single" w:color="000000" w:sz="4" w:space="0"/>
            </w:tcBorders>
            <w:shd w:val="clear" w:color="auto" w:fill="1F497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序号</w:t>
            </w:r>
          </w:p>
        </w:tc>
        <w:tc>
          <w:tcPr>
            <w:tcW w:w="2771" w:type="dxa"/>
            <w:vMerge w:val="restart"/>
            <w:tcBorders>
              <w:top w:val="single" w:color="000000" w:sz="4" w:space="0"/>
              <w:left w:val="single" w:color="000000" w:sz="4" w:space="0"/>
              <w:bottom w:val="single" w:color="000000" w:sz="4" w:space="0"/>
              <w:right w:val="single" w:color="000000" w:sz="4" w:space="0"/>
            </w:tcBorders>
            <w:shd w:val="clear" w:color="auto" w:fill="1F497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基金公司</w:t>
            </w:r>
          </w:p>
        </w:tc>
        <w:tc>
          <w:tcPr>
            <w:tcW w:w="1101" w:type="dxa"/>
            <w:vMerge w:val="restart"/>
            <w:tcBorders>
              <w:top w:val="single" w:color="000000" w:sz="4" w:space="0"/>
              <w:left w:val="single" w:color="000000" w:sz="4" w:space="0"/>
              <w:bottom w:val="single" w:color="000000" w:sz="4" w:space="0"/>
              <w:right w:val="single" w:color="000000" w:sz="4" w:space="0"/>
            </w:tcBorders>
            <w:shd w:val="clear" w:color="auto" w:fill="1F497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序号</w:t>
            </w:r>
          </w:p>
        </w:tc>
        <w:tc>
          <w:tcPr>
            <w:tcW w:w="2745" w:type="dxa"/>
            <w:vMerge w:val="restart"/>
            <w:tcBorders>
              <w:top w:val="single" w:color="000000" w:sz="4" w:space="0"/>
              <w:left w:val="single" w:color="000000" w:sz="4" w:space="0"/>
              <w:bottom w:val="single" w:color="000000" w:sz="4" w:space="0"/>
              <w:right w:val="single" w:color="000000" w:sz="4" w:space="0"/>
            </w:tcBorders>
            <w:shd w:val="clear" w:color="auto" w:fill="1F497D"/>
            <w:noWrap/>
            <w:vAlign w:val="center"/>
          </w:tcPr>
          <w:p>
            <w:pPr>
              <w:keepNext w:val="0"/>
              <w:keepLines w:val="0"/>
              <w:widowControl/>
              <w:suppressLineNumbers w:val="0"/>
              <w:jc w:val="center"/>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基金公司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1129" w:type="dxa"/>
            <w:vMerge w:val="continue"/>
            <w:tcBorders>
              <w:top w:val="single" w:color="000000" w:sz="4" w:space="0"/>
              <w:left w:val="single" w:color="000000" w:sz="4" w:space="0"/>
              <w:bottom w:val="single" w:color="000000" w:sz="4" w:space="0"/>
              <w:right w:val="single" w:color="000000" w:sz="4" w:space="0"/>
            </w:tcBorders>
            <w:shd w:val="clear" w:color="auto" w:fill="1F497D"/>
            <w:noWrap/>
            <w:vAlign w:val="center"/>
          </w:tcPr>
          <w:p>
            <w:pPr>
              <w:jc w:val="center"/>
              <w:rPr>
                <w:rFonts w:hint="eastAsia" w:ascii="宋体" w:hAnsi="宋体" w:eastAsia="宋体" w:cs="宋体"/>
                <w:b/>
                <w:bCs/>
                <w:i w:val="0"/>
                <w:iCs w:val="0"/>
                <w:color w:val="FFFFFF"/>
                <w:sz w:val="21"/>
                <w:szCs w:val="21"/>
                <w:u w:val="none"/>
              </w:rPr>
            </w:pPr>
          </w:p>
        </w:tc>
        <w:tc>
          <w:tcPr>
            <w:tcW w:w="2771" w:type="dxa"/>
            <w:vMerge w:val="continue"/>
            <w:tcBorders>
              <w:top w:val="single" w:color="000000" w:sz="4" w:space="0"/>
              <w:left w:val="single" w:color="000000" w:sz="4" w:space="0"/>
              <w:bottom w:val="single" w:color="000000" w:sz="4" w:space="0"/>
              <w:right w:val="single" w:color="000000" w:sz="4" w:space="0"/>
            </w:tcBorders>
            <w:shd w:val="clear" w:color="auto" w:fill="1F497D"/>
            <w:noWrap/>
            <w:vAlign w:val="center"/>
          </w:tcPr>
          <w:p>
            <w:pPr>
              <w:jc w:val="center"/>
              <w:rPr>
                <w:rFonts w:hint="eastAsia" w:ascii="宋体" w:hAnsi="宋体" w:eastAsia="宋体" w:cs="宋体"/>
                <w:b/>
                <w:bCs/>
                <w:i w:val="0"/>
                <w:iCs w:val="0"/>
                <w:color w:val="FFFFFF"/>
                <w:sz w:val="21"/>
                <w:szCs w:val="21"/>
                <w:u w:val="none"/>
              </w:rPr>
            </w:pPr>
          </w:p>
        </w:tc>
        <w:tc>
          <w:tcPr>
            <w:tcW w:w="1101" w:type="dxa"/>
            <w:vMerge w:val="continue"/>
            <w:tcBorders>
              <w:top w:val="single" w:color="000000" w:sz="4" w:space="0"/>
              <w:left w:val="single" w:color="000000" w:sz="4" w:space="0"/>
              <w:bottom w:val="single" w:color="000000" w:sz="4" w:space="0"/>
              <w:right w:val="single" w:color="000000" w:sz="4" w:space="0"/>
            </w:tcBorders>
            <w:shd w:val="clear" w:color="auto" w:fill="1F497D"/>
            <w:noWrap/>
            <w:vAlign w:val="center"/>
          </w:tcPr>
          <w:p>
            <w:pPr>
              <w:jc w:val="center"/>
              <w:rPr>
                <w:rFonts w:hint="eastAsia" w:ascii="宋体" w:hAnsi="宋体" w:eastAsia="宋体" w:cs="宋体"/>
                <w:b/>
                <w:bCs/>
                <w:i w:val="0"/>
                <w:iCs w:val="0"/>
                <w:color w:val="FFFFFF"/>
                <w:sz w:val="21"/>
                <w:szCs w:val="21"/>
                <w:u w:val="none"/>
              </w:rPr>
            </w:pPr>
          </w:p>
        </w:tc>
        <w:tc>
          <w:tcPr>
            <w:tcW w:w="2745" w:type="dxa"/>
            <w:vMerge w:val="continue"/>
            <w:tcBorders>
              <w:top w:val="single" w:color="000000" w:sz="4" w:space="0"/>
              <w:left w:val="single" w:color="000000" w:sz="4" w:space="0"/>
              <w:bottom w:val="single" w:color="000000" w:sz="4" w:space="0"/>
              <w:right w:val="single" w:color="000000" w:sz="4" w:space="0"/>
            </w:tcBorders>
            <w:shd w:val="clear" w:color="auto" w:fill="1F497D"/>
            <w:noWrap/>
            <w:vAlign w:val="center"/>
          </w:tcPr>
          <w:p>
            <w:pPr>
              <w:jc w:val="center"/>
              <w:rPr>
                <w:rFonts w:hint="eastAsia" w:ascii="宋体" w:hAnsi="宋体" w:eastAsia="宋体" w:cs="宋体"/>
                <w:b/>
                <w:bCs/>
                <w:i w:val="0"/>
                <w:iCs w:val="0"/>
                <w:color w:val="FFFFFF"/>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华安基金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华泰柏瑞基金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华夏基金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诺安基金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南方基金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天弘基金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建信基金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富国基金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汇添富基金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融通基金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易方达基金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上银基金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招商基金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中欧基金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景顺长城基金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恒生前海基金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格林基金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泰信基金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博时基金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工银瑞信基金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信达澳亚基金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华富基金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国泰基金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鑫元基金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嘉实基金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嘉合基金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jc w:val="center"/>
        </w:trPr>
        <w:tc>
          <w:tcPr>
            <w:tcW w:w="11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277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大成基金</w:t>
            </w:r>
          </w:p>
        </w:tc>
        <w:tc>
          <w:tcPr>
            <w:tcW w:w="110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27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农银汇理基金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6" w:type="dxa"/>
            <w:gridSpan w:val="4"/>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说明：</w:t>
            </w:r>
            <w:r>
              <w:rPr>
                <w:rFonts w:hint="eastAsia" w:ascii="宋体" w:hAnsi="宋体" w:eastAsia="宋体" w:cs="宋体"/>
                <w:i w:val="0"/>
                <w:iCs w:val="0"/>
                <w:color w:val="000000"/>
                <w:kern w:val="0"/>
                <w:sz w:val="21"/>
                <w:szCs w:val="21"/>
                <w:u w:val="none"/>
                <w:lang w:val="en-US" w:eastAsia="zh-CN" w:bidi="ar"/>
              </w:rPr>
              <w:t>中欧丰泰港股通混合A（016297）、博时安悦短债A（017438）、博时均衡优选混合A（016978）、博时臻选楚汇三个月持有期债券（FOF）A（018399）、博时臻选楚汇三个月持有期债券（FOF）C（018400）</w:t>
            </w:r>
            <w:r>
              <w:rPr>
                <w:rFonts w:hint="eastAsia" w:ascii="宋体" w:hAnsi="宋体" w:eastAsia="宋体" w:cs="宋体"/>
                <w:i w:val="0"/>
                <w:iCs w:val="0"/>
                <w:color w:val="000000"/>
                <w:kern w:val="0"/>
                <w:sz w:val="21"/>
                <w:szCs w:val="21"/>
                <w:u w:val="none"/>
                <w:lang w:val="en-US" w:eastAsia="zh-CN" w:bidi="ar"/>
              </w:rPr>
              <w:br w:type="textWrapping"/>
            </w:r>
            <w:r>
              <w:rPr>
                <w:rFonts w:hint="eastAsia" w:ascii="宋体" w:hAnsi="宋体" w:cs="宋体"/>
                <w:i w:val="0"/>
                <w:iCs w:val="0"/>
                <w:color w:val="000000"/>
                <w:kern w:val="0"/>
                <w:sz w:val="21"/>
                <w:szCs w:val="21"/>
                <w:u w:val="none"/>
                <w:lang w:val="en-US" w:eastAsia="zh-CN" w:bidi="ar"/>
              </w:rPr>
              <w:t>以上基金产品</w:t>
            </w:r>
            <w:r>
              <w:rPr>
                <w:rFonts w:hint="eastAsia" w:ascii="宋体" w:hAnsi="宋体" w:eastAsia="宋体" w:cs="宋体"/>
                <w:i w:val="0"/>
                <w:iCs w:val="0"/>
                <w:color w:val="000000"/>
                <w:kern w:val="0"/>
                <w:sz w:val="21"/>
                <w:szCs w:val="21"/>
                <w:u w:val="none"/>
                <w:lang w:val="en-US" w:eastAsia="zh-CN" w:bidi="ar"/>
              </w:rPr>
              <w:t>不参与费率优惠</w:t>
            </w:r>
            <w:r>
              <w:rPr>
                <w:rFonts w:hint="eastAsia" w:ascii="宋体" w:hAnsi="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774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7746" w:type="dxa"/>
            <w:gridSpan w:val="4"/>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eastAsia="宋体" w:cs="宋体"/>
                <w:i w:val="0"/>
                <w:iCs w:val="0"/>
                <w:color w:val="000000"/>
                <w:sz w:val="21"/>
                <w:szCs w:val="21"/>
                <w:u w:val="none"/>
              </w:rPr>
            </w:pPr>
          </w:p>
        </w:tc>
      </w:tr>
    </w:tbl>
    <w:p>
      <w:pPr>
        <w:keepNext w:val="0"/>
        <w:keepLines w:val="0"/>
        <w:pageBreakBefore w:val="0"/>
        <w:kinsoku/>
        <w:wordWrap/>
        <w:overflowPunct/>
        <w:topLinePunct w:val="0"/>
        <w:autoSpaceDE/>
        <w:autoSpaceDN/>
        <w:bidi w:val="0"/>
        <w:adjustRightInd/>
        <w:snapToGrid/>
        <w:spacing w:line="560" w:lineRule="exact"/>
        <w:ind w:firstLine="640" w:firstLineChars="200"/>
        <w:jc w:val="left"/>
        <w:rPr>
          <w:rFonts w:hint="default" w:ascii="Times New Roman" w:hAnsi="Times New Roman" w:eastAsia="仿宋_GB2312" w:cs="Times New Roman"/>
          <w:i w:val="0"/>
          <w:iCs w:val="0"/>
          <w:caps w:val="0"/>
          <w:spacing w:val="0"/>
          <w:kern w:val="0"/>
          <w:sz w:val="32"/>
          <w:szCs w:val="32"/>
          <w:shd w:val="clear" w:color="auto" w:fill="FFFFFF"/>
          <w:vertAlign w:val="baseline"/>
          <w:lang w:val="en-US" w:eastAsia="zh-CN" w:bidi="ar"/>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E21A2A"/>
    <w:rsid w:val="18556FCF"/>
    <w:rsid w:val="1DF3D988"/>
    <w:rsid w:val="27FF1AA7"/>
    <w:rsid w:val="2C77104A"/>
    <w:rsid w:val="3DFD2821"/>
    <w:rsid w:val="424F3EE2"/>
    <w:rsid w:val="5377980A"/>
    <w:rsid w:val="5A8F715F"/>
    <w:rsid w:val="5C433B46"/>
    <w:rsid w:val="77BB8617"/>
    <w:rsid w:val="79BF5778"/>
    <w:rsid w:val="7DB129D4"/>
    <w:rsid w:val="7FE92155"/>
    <w:rsid w:val="A7DF77F7"/>
    <w:rsid w:val="BE3FF12A"/>
    <w:rsid w:val="DF7F5E8E"/>
    <w:rsid w:val="E5ED9F31"/>
    <w:rsid w:val="F4698CBD"/>
    <w:rsid w:val="FA4F41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989</Words>
  <Characters>1070</Characters>
  <Lines>0</Lines>
  <Paragraphs>0</Paragraphs>
  <TotalTime>6</TotalTime>
  <ScaleCrop>false</ScaleCrop>
  <LinksUpToDate>false</LinksUpToDate>
  <CharactersWithSpaces>1072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2025-05-27T09:15:00Z</dcterms:created>
  <dc:creator>GEIT</dc:creator>
  <cp:lastModifiedBy>刘晓明</cp:lastModifiedBy>
  <dcterms:modified xsi:type="dcterms:W3CDTF">2025-07-14T08:43:58Z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EEEFBC0EB5DE4085A4A2B0D901A1ED34</vt:lpwstr>
  </property>
</Properties>
</file>